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 during the selection stage of the procurement]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539.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17"/>
        <w:gridCol w:w="6122"/>
        <w:tblGridChange w:id="0">
          <w:tblGrid>
            <w:gridCol w:w="2417"/>
            <w:gridCol w:w="6122"/>
          </w:tblGrid>
        </w:tblGridChange>
      </w:tblGrid>
      <w:tr>
        <w:trPr>
          <w:cantSplit w:val="0"/>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5.1 of this Schedule which are to apply to the Monitored Suppliers as set out in Paragraph 5.2 of this Schedule;</w:t>
            </w:r>
          </w:p>
        </w:tc>
      </w:tr>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0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 </w:t>
            </w:r>
          </w:p>
        </w:tc>
      </w:tr>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 </w:t>
            </w:r>
          </w:p>
        </w:tc>
      </w:tr>
      <w:tr>
        <w:trPr>
          <w:cantSplit w:val="0"/>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1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3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466"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3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Consequences</w:t>
      </w: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 of Financial Distress Events</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4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58">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[Guidance: 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[if different from the default position set out in Paragraph 2.3(b)]</w:t>
            </w:r>
          </w:p>
        </w:tc>
      </w:tr>
      <w:tr>
        <w:trPr>
          <w:cantSplit w:val="0"/>
          <w:tblHeader w:val="0"/>
        </w:trPr>
        <w:tc>
          <w:tcPr>
            <w:vAlign w:val="center"/>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Margin]</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higher of (a) the Operating Margin for the most recent 12 month period and (b) the average Operating Margin for the last two 12 month periods]</w:t>
            </w:r>
          </w:p>
        </w:tc>
        <w:tc>
          <w:tcPr>
            <w:vAlign w:val="cente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[Operating Margin = Operating Profit / Revenue]</w:t>
            </w:r>
          </w:p>
        </w:tc>
        <w:tc>
          <w:tcP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[&gt; [8%]]</w:t>
            </w:r>
          </w:p>
        </w:tc>
        <w:tc>
          <w:tcPr>
            <w:vAlign w:val="cente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 half yearly] in arrears within [120 / 90] days of each [accounting reference date / half year end] based upon figures for the 12 months ending on the relevant [accounting reference date / half year end]</w:t>
            </w:r>
          </w:p>
        </w:tc>
      </w:tr>
      <w:tr>
        <w:trPr>
          <w:cantSplit w:val="0"/>
          <w:tblHeader w:val="0"/>
        </w:trPr>
        <w:tc>
          <w:tcPr>
            <w:vAlign w:val="cente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7030a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[Net Debt to EBITDA Ratio]</w:t>
            </w:r>
          </w:p>
        </w:tc>
        <w:tc>
          <w:tcPr>
            <w:vAlign w:val="cente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Debt to EBITDA ratio = Net Debt / EBITDA]</w:t>
            </w:r>
          </w:p>
        </w:tc>
        <w:tc>
          <w:tcPr>
            <w:vAlign w:val="cente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[&lt; [2.5]] times</w:t>
            </w:r>
          </w:p>
        </w:tc>
        <w:tc>
          <w:tcPr>
            <w:vAlign w:val="cente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w:t>
            </w: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 half yearly]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[120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90] days of each [accounting reference date </w:t>
            </w: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EBITDA for the 12 months ending on, and Net Debt at, the relevant [accounting reference date </w:t>
            </w: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 Net Pension Deficit to EBITDA ratio]</w:t>
            </w:r>
          </w:p>
        </w:tc>
        <w:tc>
          <w:tcPr>
            <w:vAlign w:val="cente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Debt + Net Pension Deficit to EBITDA Ratio = (Net Debt + Net Pension Deficit) / EBITDA]</w:t>
            </w:r>
          </w:p>
        </w:tc>
        <w:tc>
          <w:tcPr>
            <w:vAlign w:val="cente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[&lt; [4]] times</w:t>
            </w:r>
          </w:p>
        </w:tc>
        <w:tc>
          <w:tcPr>
            <w:vAlign w:val="cente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w:t>
            </w:r>
            <w:r w:rsidDel="00000000" w:rsidR="00000000" w:rsidRPr="00000000">
              <w:rPr>
                <w:rFonts w:ascii="Arial" w:cs="Arial" w:eastAsia="Arial" w:hAnsi="Arial"/>
                <w:b w:val="0"/>
                <w:i w:val="1"/>
                <w:smallCaps w:val="0"/>
                <w:strike w:val="0"/>
                <w:color w:val="f79646"/>
                <w:sz w:val="24"/>
                <w:szCs w:val="24"/>
                <w:u w:val="none"/>
                <w:shd w:fill="auto" w:val="clear"/>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Interest Paid Cover]</w:t>
            </w:r>
          </w:p>
        </w:tc>
        <w:tc>
          <w:tcPr>
            <w:vAlign w:val="center"/>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[&gt; [4.5]] times</w:t>
            </w:r>
          </w:p>
        </w:tc>
        <w:tc>
          <w:tcPr>
            <w:vAlign w:val="center"/>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w:t>
            </w: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 / half yearly]</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120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90] days of each [accounting reference date </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[accounting reference date </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p>
        </w:tc>
      </w:tr>
      <w:tr>
        <w:trPr>
          <w:cantSplit w:val="0"/>
          <w:tblHeader w:val="0"/>
        </w:trPr>
        <w:tc>
          <w:tcPr>
            <w:vAlign w:val="center"/>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[Acid Ratio]</w:t>
            </w:r>
          </w:p>
        </w:tc>
        <w:tc>
          <w:tcPr>
            <w:vAlign w:val="cente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[Acid Ratio = (Current Assets – Inventories) / Current Liabilities]</w:t>
            </w:r>
          </w:p>
        </w:tc>
        <w:tc>
          <w:tcPr>
            <w:vAlign w:val="cente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[&gt; [1.5]] times</w:t>
            </w:r>
          </w:p>
        </w:tc>
        <w:tc>
          <w:tcPr>
            <w:vAlign w:val="cente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in arrears within [</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120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90] days of each [accounting reference date </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at the relevant [accounting reference date</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p>
        </w:tc>
      </w:tr>
      <w:tr>
        <w:trPr>
          <w:cantSplit w:val="0"/>
          <w:tblHeader w:val="0"/>
        </w:trPr>
        <w:tc>
          <w:tcPr>
            <w:vAlign w:val="cente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Asset value]</w:t>
            </w:r>
          </w:p>
        </w:tc>
        <w:tc>
          <w:tcPr>
            <w:vAlign w:val="cente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Asset Value = Net Assets]</w:t>
            </w:r>
          </w:p>
        </w:tc>
        <w:tc>
          <w:tcPr>
            <w:vAlign w:val="center"/>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[&gt; £0]</w:t>
            </w:r>
          </w:p>
        </w:tc>
        <w:tc>
          <w:tcPr>
            <w:vAlign w:val="cente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in arrears within [</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120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90] days of each [accounting reference date </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at the relevant [accounting reference date </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p>
        </w:tc>
      </w:tr>
      <w:tr>
        <w:trPr>
          <w:cantSplit w:val="0"/>
          <w:tblHeader w:val="0"/>
        </w:trPr>
        <w:tc>
          <w:tcPr>
            <w:vAlign w:val="cente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[Group Exposure Ratio]</w:t>
            </w:r>
          </w:p>
        </w:tc>
        <w:tc>
          <w:tcPr>
            <w:vAlign w:val="cente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[Group Exposure / Gross Assets]</w:t>
            </w:r>
          </w:p>
        </w:tc>
        <w:tc>
          <w:tcPr>
            <w:vAlign w:val="center"/>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[&lt; [25]]%</w:t>
            </w:r>
          </w:p>
        </w:tc>
        <w:tc>
          <w:tcPr>
            <w:vAlign w:val="cente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tl w:val="0"/>
              </w:rPr>
            </w:r>
          </w:p>
        </w:tc>
        <w:tc>
          <w:tcPr>
            <w:vAlign w:val="cente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9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9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A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has been specified as a Critical Service Contract under Paragraph 1.1 of Part B to Order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A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Optional Clauses</w:t>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Buyer’s Order Contract is a Bronze Contract, if specified in the Order Form, the terms at Annex 5 shall apply to the Order Contract in place of the foregoing terms of this Joint Schedule 7.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A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Dun and Bradstreet</w:t>
      </w:r>
      <w:r w:rsidDel="00000000" w:rsidR="00000000" w:rsidRPr="00000000">
        <w:rPr>
          <w:rtl w:val="0"/>
        </w:rPr>
      </w:r>
    </w:p>
    <w:p w:rsidR="00000000" w:rsidDel="00000000" w:rsidP="00000000" w:rsidRDefault="00000000" w:rsidRPr="00000000" w14:paraId="000000B0">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Annex 2</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B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B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45</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B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45</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B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B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[Operating Margin]</w:t>
            </w:r>
            <w:r w:rsidDel="00000000" w:rsidR="00000000" w:rsidRPr="00000000">
              <w:rPr>
                <w:rtl w:val="0"/>
              </w:rPr>
            </w:r>
          </w:p>
        </w:tc>
        <w:tc>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an entity has an operating loss (i.e. where the operating profit is negative), Operating Profit should be taken to be zero.]</w:t>
            </w:r>
            <w:r w:rsidDel="00000000" w:rsidR="00000000" w:rsidRPr="00000000">
              <w:rPr>
                <w:rtl w:val="0"/>
              </w:rPr>
            </w:r>
          </w:p>
        </w:tc>
      </w:tr>
      <w:tr>
        <w:trPr>
          <w:cantSplit w:val="0"/>
          <w:tblHeader w:val="0"/>
        </w:trPr>
        <w:tc>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[Free Cash Flow to Net Debt Ratio]</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to EBITDA Ratio]</w:t>
            </w:r>
            <w:r w:rsidDel="00000000" w:rsidR="00000000" w:rsidRPr="00000000">
              <w:rPr>
                <w:rtl w:val="0"/>
              </w:rPr>
            </w:r>
          </w:p>
        </w:tc>
        <w:tc>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Net Cash Flow from Operating Activities – Capital Expenditure</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Purchase of property, plant &amp; equipment + purchase of intangible assets</w:t>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This should be stated after deduction of interest and tax paid.</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is negative (i.e. an entity has net cash), the relevant Financial Target Threshold should be treated as having been met.]</w:t>
            </w:r>
            <w:r w:rsidDel="00000000" w:rsidR="00000000" w:rsidRPr="00000000">
              <w:rPr>
                <w:rtl w:val="0"/>
              </w:rPr>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 + Depreciation charge + Amortisation charge</w:t>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Del="00000000" w:rsidR="00000000" w:rsidRPr="00000000">
              <w:rPr>
                <w:rtl w:val="0"/>
              </w:rPr>
            </w:r>
          </w:p>
        </w:tc>
      </w:tr>
      <w:tr>
        <w:trPr>
          <w:cantSplit w:val="0"/>
          <w:tblHeader w:val="0"/>
        </w:trPr>
        <w:tc>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 Net  Pension Deficit to EBITDA ratio]</w:t>
            </w:r>
            <w:r w:rsidDel="00000000" w:rsidR="00000000" w:rsidRPr="00000000">
              <w:rPr>
                <w:rtl w:val="0"/>
              </w:rPr>
            </w:r>
          </w:p>
        </w:tc>
        <w:tc>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Retirement Benefit Obligations – Retirement Benefit Assets</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 + Depreciation charge + Amortisation charge</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not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non-designated hedges). Borrowings should also include balances owed to other group members.</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Interest Paid Cover]</w:t>
            </w:r>
            <w:r w:rsidDel="00000000" w:rsidR="00000000" w:rsidRPr="00000000">
              <w:rPr>
                <w:rtl w:val="0"/>
              </w:rPr>
            </w:r>
          </w:p>
        </w:tc>
        <w:tc>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Interest paid – Interest received</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Interest received and interest paid should be shown on the face of the Cash Flow statement.</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[Acid Ratio]</w:t>
            </w:r>
            <w:r w:rsidDel="00000000" w:rsidR="00000000" w:rsidRPr="00000000">
              <w:rPr>
                <w:rtl w:val="0"/>
              </w:rPr>
            </w:r>
          </w:p>
        </w:tc>
        <w:tc>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[All elements that are used to calculate the Acid Ratio are available on the face of the Balance Sheet in a standard set of financial statements.]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Asset value]</w:t>
            </w:r>
            <w:r w:rsidDel="00000000" w:rsidR="00000000" w:rsidRPr="00000000">
              <w:rPr>
                <w:rtl w:val="0"/>
              </w:rPr>
            </w:r>
          </w:p>
        </w:tc>
        <w:tc>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[Group Exposure Ratio]</w:t>
            </w:r>
            <w:r w:rsidDel="00000000" w:rsidR="00000000" w:rsidRPr="00000000">
              <w:rPr>
                <w:rtl w:val="0"/>
              </w:rPr>
            </w:r>
          </w:p>
        </w:tc>
        <w:tc>
          <w:tcPr/>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Balances owed by Group Undertakings + Contingent liabilities assumed in support of Group Undertakings</w:t>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Fixed Assets + Current Assets</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Both Fixed assets and Current assets are shown on the face of the Balance Sheet]</w:t>
            </w:r>
          </w:p>
        </w:tc>
      </w:tr>
      <w:tr>
        <w:trPr>
          <w:cantSplit w:val="0"/>
          <w:tblHeader w:val="0"/>
        </w:trPr>
        <w:tc>
          <w:tcPr>
            <w:vAlign w:val="center"/>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w:t>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additional Financial Indicators as necessary]</w:t>
            </w:r>
            <w:r w:rsidDel="00000000" w:rsidR="00000000" w:rsidRPr="00000000">
              <w:rPr>
                <w:rtl w:val="0"/>
              </w:rPr>
            </w:r>
          </w:p>
        </w:tc>
        <w:tc>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singl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[Etc..]</w:t>
            </w:r>
          </w:p>
        </w:tc>
      </w:tr>
    </w:tbl>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2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2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C">
      <w:pPr>
        <w:spacing w:after="200" w:line="276" w:lineRule="auto"/>
        <w:jc w:val="left"/>
        <w:rPr>
          <w:rFonts w:ascii="Arial" w:cs="Arial" w:eastAsia="Arial" w:hAnsi="Arial"/>
          <w:b w:val="1"/>
          <w:smallCaps w:val="1"/>
          <w:sz w:val="36"/>
          <w:szCs w:val="36"/>
        </w:rPr>
      </w:pPr>
      <w:r w:rsidDel="00000000" w:rsidR="00000000" w:rsidRPr="00000000">
        <w:rPr>
          <w:rFonts w:ascii="Arial" w:cs="Arial" w:eastAsia="Arial" w:hAnsi="Arial"/>
          <w:b w:val="1"/>
          <w:smallCaps w:val="1"/>
          <w:sz w:val="36"/>
          <w:szCs w:val="36"/>
          <w:rtl w:val="0"/>
        </w:rPr>
        <w:t xml:space="preserve">ANNEX 5: OPTIONAL CLAUSES FOR BRONZE CONTRACTS</w:t>
      </w:r>
    </w:p>
    <w:p w:rsidR="00000000" w:rsidDel="00000000" w:rsidP="00000000" w:rsidRDefault="00000000" w:rsidRPr="00000000" w14:paraId="0000013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3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5, the following words shall have the following meanings and they shall supplement Joint Schedule 1 (Definitions):</w:t>
      </w:r>
    </w:p>
    <w:tbl>
      <w:tblPr>
        <w:tblStyle w:val="Table6"/>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r w:rsidDel="00000000" w:rsidR="00000000" w:rsidRPr="00000000">
              <w:rPr>
                <w:rtl w:val="0"/>
              </w:rPr>
            </w:r>
          </w:p>
        </w:tc>
        <w:tc>
          <w:tcPr/>
          <w:p w:rsidR="00000000" w:rsidDel="00000000" w:rsidP="00000000" w:rsidRDefault="00000000" w:rsidRPr="00000000" w14:paraId="0000014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r w:rsidDel="00000000" w:rsidR="00000000" w:rsidRPr="00000000">
              <w:rPr>
                <w:rtl w:val="0"/>
              </w:rPr>
            </w:r>
          </w:p>
        </w:tc>
        <w:tc>
          <w:tcPr/>
          <w:p w:rsidR="00000000" w:rsidDel="00000000" w:rsidP="00000000" w:rsidRDefault="00000000" w:rsidRPr="00000000" w14:paraId="0000014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14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14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4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Company; </w:t>
            </w:r>
          </w:p>
          <w:p w:rsidR="00000000" w:rsidDel="00000000" w:rsidP="00000000" w:rsidRDefault="00000000" w:rsidRPr="00000000" w14:paraId="0000014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147">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4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14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4A">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14B">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14C">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14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of any Contract and delivery of the Deliverables in accordance with any Order Contract;</w:t>
            </w:r>
          </w:p>
        </w:tc>
      </w:tr>
      <w:tr>
        <w:trPr>
          <w:cantSplit w:val="0"/>
          <w:tblHeader w:val="0"/>
        </w:trPr>
        <w:tc>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r w:rsidDel="00000000" w:rsidR="00000000" w:rsidRPr="00000000">
              <w:rPr>
                <w:rtl w:val="0"/>
              </w:rPr>
            </w:r>
          </w:p>
        </w:tc>
        <w:tc>
          <w:tcPr/>
          <w:p w:rsidR="00000000" w:rsidDel="00000000" w:rsidP="00000000" w:rsidRDefault="00000000" w:rsidRPr="00000000" w14:paraId="0000014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Order] Contract in the event that a Financial Distress Event occurs;</w:t>
            </w:r>
          </w:p>
        </w:tc>
      </w:tr>
      <w:tr>
        <w:trPr>
          <w:cantSplit w:val="0"/>
          <w:tblHeader w:val="0"/>
        </w:trPr>
        <w:tc>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r w:rsidDel="00000000" w:rsidR="00000000" w:rsidRPr="00000000">
              <w:rPr>
                <w:rtl w:val="0"/>
              </w:rPr>
            </w:r>
          </w:p>
        </w:tc>
        <w:tc>
          <w:tcPr/>
          <w:p w:rsidR="00000000" w:rsidDel="00000000" w:rsidP="00000000" w:rsidRDefault="00000000" w:rsidRPr="00000000" w14:paraId="0000015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r w:rsidDel="00000000" w:rsidR="00000000" w:rsidRPr="00000000">
              <w:rPr>
                <w:rtl w:val="0"/>
              </w:rPr>
            </w:r>
          </w:p>
        </w:tc>
        <w:tc>
          <w:tcPr/>
          <w:p w:rsidR="00000000" w:rsidDel="00000000" w:rsidP="00000000" w:rsidRDefault="00000000" w:rsidRPr="00000000" w14:paraId="0000015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Appendix 1.</w:t>
            </w:r>
          </w:p>
        </w:tc>
      </w:tr>
    </w:tbl>
    <w:p w:rsidR="00000000" w:rsidDel="00000000" w:rsidP="00000000" w:rsidRDefault="00000000" w:rsidRPr="00000000" w14:paraId="0000015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15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5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Annex 5  shall survive termination or expiry of this Contract:</w:t>
      </w:r>
    </w:p>
    <w:p w:rsidR="00000000" w:rsidDel="00000000" w:rsidP="00000000" w:rsidRDefault="00000000" w:rsidRPr="00000000" w14:paraId="0000015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rsidR="00000000" w:rsidDel="00000000" w:rsidP="00000000" w:rsidRDefault="00000000" w:rsidRPr="00000000" w14:paraId="0000015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Order Contract until the termination or expiry of the Order Contract.</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15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15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5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check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Commercial Finance what provisions to make here – the quick ratio is not currently used] the quick ratio for the Monitored Company  as at the end of each Contract Year or such other date as may be requested by the Relevant Authority .  For these purposes the "quick ratio" on any date means:</w:t>
      </w:r>
    </w:p>
    <w:p w:rsidR="00000000" w:rsidDel="00000000" w:rsidP="00000000" w:rsidRDefault="00000000" w:rsidRPr="00000000" w14:paraId="00000160">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6"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7"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7"/>
        <w:tblW w:w="831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Company]; and</w:t>
            </w:r>
          </w:p>
        </w:tc>
      </w:tr>
      <w:tr>
        <w:trPr>
          <w:cantSplit w:val="0"/>
          <w:tblHeader w:val="0"/>
        </w:trPr>
        <w:tc>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16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16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16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6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6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16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5"/>
      <w:bookmarkEnd w:id="15"/>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1ksv4uv"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17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00000" w:rsidDel="00000000" w:rsidP="00000000" w:rsidRDefault="00000000" w:rsidRPr="00000000" w14:paraId="0000017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17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17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17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w:t>
      </w:r>
    </w:p>
    <w:p w:rsidR="00000000" w:rsidDel="00000000" w:rsidP="00000000" w:rsidRDefault="00000000" w:rsidRPr="00000000" w14:paraId="0000017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Order Contract: </w:t>
      </w:r>
    </w:p>
    <w:p w:rsidR="00000000" w:rsidDel="00000000" w:rsidP="00000000" w:rsidRDefault="00000000" w:rsidRPr="00000000" w14:paraId="0000017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7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the Relevant Authority  may reasonably require.</w:t>
      </w:r>
    </w:p>
    <w:p w:rsidR="00000000" w:rsidDel="00000000" w:rsidP="00000000" w:rsidRDefault="00000000" w:rsidRPr="00000000" w14:paraId="0000017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7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7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the Relevant Authority , the Supplier shall:</w:t>
      </w:r>
    </w:p>
    <w:p w:rsidR="00000000" w:rsidDel="00000000" w:rsidP="00000000" w:rsidRDefault="00000000" w:rsidRPr="00000000" w14:paraId="0000017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of each Contract and delivery of the Deliverables in accordance with each Order Contract;</w:t>
      </w:r>
    </w:p>
    <w:p w:rsidR="00000000" w:rsidDel="00000000" w:rsidP="00000000" w:rsidRDefault="00000000" w:rsidRPr="00000000" w14:paraId="0000017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7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17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00000" w:rsidDel="00000000" w:rsidP="00000000" w:rsidRDefault="00000000" w:rsidRPr="00000000" w14:paraId="0000018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an Order Contract with the Supplier.</w:t>
      </w:r>
    </w:p>
    <w:p w:rsidR="00000000" w:rsidDel="00000000" w:rsidP="00000000" w:rsidRDefault="00000000" w:rsidRPr="00000000" w14:paraId="0000018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8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Order Contracts for material Default if: </w:t>
      </w:r>
    </w:p>
    <w:p w:rsidR="00000000" w:rsidDel="00000000" w:rsidP="00000000" w:rsidRDefault="00000000" w:rsidRPr="00000000" w14:paraId="0000018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3.4; </w:t>
      </w:r>
    </w:p>
    <w:p w:rsidR="00000000" w:rsidDel="00000000" w:rsidP="00000000" w:rsidRDefault="00000000" w:rsidRPr="00000000" w14:paraId="000001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8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8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18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8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18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18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9x2ik5" w:id="29"/>
      <w:bookmarkEnd w:id="29"/>
      <w:r w:rsidDel="00000000" w:rsidR="00000000" w:rsidRPr="00000000">
        <w:br w:type="page"/>
      </w:r>
      <w:r w:rsidDel="00000000" w:rsidR="00000000" w:rsidRPr="00000000">
        <w:rPr>
          <w:rtl w:val="0"/>
        </w:rPr>
      </w:r>
    </w:p>
    <w:p w:rsidR="00000000" w:rsidDel="00000000" w:rsidP="00000000" w:rsidRDefault="00000000" w:rsidRPr="00000000" w14:paraId="0000018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2p2csry" w:id="30"/>
      <w:bookmarkEnd w:id="30"/>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1: RATING AGENCIES</w:t>
      </w:r>
    </w:p>
    <w:p w:rsidR="00000000" w:rsidDel="00000000" w:rsidP="00000000" w:rsidRDefault="00000000" w:rsidRPr="00000000" w14:paraId="0000018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18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18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47n2zr" w:id="31"/>
      <w:bookmarkEnd w:id="31"/>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2: CREDIT RATINGS &amp; CREDIT RATING THRESHOLDS</w:t>
      </w:r>
      <w:r w:rsidDel="00000000" w:rsidR="00000000" w:rsidRPr="00000000">
        <w:rPr>
          <w:rtl w:val="0"/>
        </w:rPr>
      </w:r>
    </w:p>
    <w:p w:rsidR="00000000" w:rsidDel="00000000" w:rsidP="00000000" w:rsidRDefault="00000000" w:rsidRPr="00000000" w14:paraId="0000019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8"/>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9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19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19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19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w:t>
            </w:r>
          </w:p>
        </w:tc>
      </w:tr>
      <w:tr>
        <w:trPr>
          <w:cantSplit w:val="0"/>
          <w:tblHeader w:val="0"/>
        </w:trPr>
        <w:tc>
          <w:tcPr>
            <w:shd w:fill="ffffff" w:val="clear"/>
          </w:tcPr>
          <w:p w:rsidR="00000000" w:rsidDel="00000000" w:rsidP="00000000" w:rsidRDefault="00000000" w:rsidRPr="00000000" w14:paraId="0000019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[DPS Guarantor/ [and Order Guarantor]</w:t>
            </w:r>
            <w:r w:rsidDel="00000000" w:rsidR="00000000" w:rsidRPr="00000000">
              <w:rPr>
                <w:rtl w:val="0"/>
              </w:rPr>
            </w:r>
          </w:p>
        </w:tc>
        <w:tc>
          <w:tcPr>
            <w:shd w:fill="ffffff" w:val="clear"/>
          </w:tcPr>
          <w:p w:rsidR="00000000" w:rsidDel="00000000" w:rsidP="00000000" w:rsidRDefault="00000000" w:rsidRPr="00000000" w14:paraId="0000019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9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9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99">
      <w:pPr>
        <w:spacing w:after="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A">
      <w:pPr>
        <w:spacing w:after="0" w:lineRule="auto"/>
        <w:rPr>
          <w:rFonts w:ascii="Arial" w:cs="Arial" w:eastAsia="Arial" w:hAnsi="Arial"/>
          <w:sz w:val="24"/>
          <w:szCs w:val="24"/>
        </w:rPr>
      </w:pPr>
      <w:r w:rsidDel="00000000" w:rsidR="00000000" w:rsidRPr="00000000">
        <w:rPr>
          <w:rtl w:val="0"/>
        </w:rPr>
      </w:r>
    </w:p>
    <w:sectPr>
      <w:headerReference r:id="rId10" w:type="defaul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tab/>
      <w:t xml:space="preserve">                                           </w:t>
    </w:r>
  </w:p>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0">
    <w:pPr>
      <w:tabs>
        <w:tab w:val="center" w:pos="4513"/>
        <w:tab w:val="right" w:pos="9026"/>
      </w:tabs>
      <w:spacing w:after="0" w:lineRule="auto"/>
      <w:rPr>
        <w:color w:val="bfbfbf"/>
      </w:rPr>
    </w:pPr>
    <w:r w:rsidDel="00000000" w:rsidR="00000000" w:rsidRPr="00000000">
      <w:rPr>
        <w:color w:val="bfbfbf"/>
        <w:rtl w:val="0"/>
      </w:rPr>
      <w:t xml:space="preserve">DPS Ref: RM</w:t>
      <w:tab/>
      <w:t xml:space="preserve">                                           </w:t>
    </w:r>
  </w:p>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2">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6B5FA9"/>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6B5FA9"/>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6B5FA9"/>
    <w:rPr>
      <w:rFonts w:ascii="Arial" w:cs="Times New Roman" w:eastAsia="Times New Roman" w:hAnsi="Arial"/>
      <w:b w:val="1"/>
      <w:sz w:val="24"/>
      <w:szCs w:val="24"/>
      <w:lang w:eastAsia="en-GB"/>
    </w:rPr>
  </w:style>
  <w:style w:type="paragraph" w:styleId="StdBodyText1" w:customStyle="1">
    <w:name w:val="Std Body Text 1"/>
    <w:basedOn w:val="StdBodyText"/>
    <w:rsid w:val="006B5FA9"/>
    <w:pPr>
      <w:ind w:left="720"/>
    </w:pPr>
  </w:style>
  <w:style w:type="paragraph" w:styleId="AnnexHeading" w:customStyle="1">
    <w:name w:val="Annex Heading"/>
    <w:basedOn w:val="Normal"/>
    <w:next w:val="Normal"/>
    <w:rsid w:val="006B5FA9"/>
    <w:pPr>
      <w:numPr>
        <w:numId w:val="15"/>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5FA9"/>
    <w:pPr>
      <w:numPr>
        <w:numId w:val="16"/>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5FA9"/>
    <w:pPr>
      <w:numPr>
        <w:ilvl w:val="1"/>
      </w:numPr>
    </w:pPr>
    <w:rPr>
      <w:b w:val="0"/>
    </w:rPr>
  </w:style>
  <w:style w:type="paragraph" w:styleId="AppendixText3" w:customStyle="1">
    <w:name w:val="Appendix Text 3"/>
    <w:basedOn w:val="Normal"/>
    <w:next w:val="Normal"/>
    <w:rsid w:val="006B5FA9"/>
    <w:pPr>
      <w:numPr>
        <w:ilvl w:val="2"/>
        <w:numId w:val="16"/>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5FA9"/>
    <w:pPr>
      <w:numPr>
        <w:ilvl w:val="3"/>
        <w:numId w:val="16"/>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5FA9"/>
    <w:pPr>
      <w:numPr>
        <w:ilvl w:val="4"/>
        <w:numId w:val="16"/>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5FA9"/>
    <w:pPr>
      <w:numPr>
        <w:ilvl w:val="5"/>
      </w:numPr>
    </w:pPr>
  </w:style>
  <w:style w:type="paragraph" w:styleId="StdBodyText4" w:customStyle="1">
    <w:name w:val="Std Body Text 4"/>
    <w:basedOn w:val="Normal"/>
    <w:rsid w:val="006B5FA9"/>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12" Type="http://schemas.openxmlformats.org/officeDocument/2006/relationships/footer" Target="footer2.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coogS7pUEJhPpb0ebHwPMxrzkQ==">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2022-10-19T09:12:00Z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